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0D833">
      <w:pPr>
        <w:jc w:val="center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合同格式（主要条款）</w:t>
      </w:r>
    </w:p>
    <w:p w14:paraId="61082B83">
      <w:pPr>
        <w:rPr>
          <w:rFonts w:hint="eastAsia" w:ascii="仿宋" w:hAnsi="仿宋" w:eastAsia="仿宋"/>
          <w:sz w:val="28"/>
          <w:szCs w:val="28"/>
        </w:rPr>
      </w:pPr>
    </w:p>
    <w:p w14:paraId="3E1A90F2">
      <w:pPr>
        <w:rPr>
          <w:rFonts w:hint="eastAsia" w:ascii="仿宋" w:hAnsi="仿宋" w:eastAsia="仿宋"/>
          <w:sz w:val="28"/>
          <w:szCs w:val="28"/>
        </w:rPr>
      </w:pPr>
    </w:p>
    <w:p w14:paraId="60D78D18">
      <w:pPr>
        <w:rPr>
          <w:rFonts w:hint="eastAsia" w:ascii="仿宋" w:hAnsi="仿宋" w:eastAsia="仿宋"/>
          <w:b/>
          <w:sz w:val="28"/>
          <w:szCs w:val="28"/>
        </w:rPr>
      </w:pPr>
    </w:p>
    <w:p w14:paraId="6223E4C7">
      <w:pPr>
        <w:spacing w:line="360" w:lineRule="auto"/>
        <w:ind w:firstLine="643" w:firstLineChars="200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  <w:t>渭南市中心医院电脑打印机耗材采购项目</w:t>
      </w:r>
    </w:p>
    <w:p w14:paraId="56356F02">
      <w:pPr>
        <w:jc w:val="both"/>
        <w:rPr>
          <w:rFonts w:hint="eastAsia" w:ascii="宋体" w:hAnsi="宋体"/>
          <w:b/>
          <w:bCs/>
          <w:sz w:val="32"/>
          <w:szCs w:val="32"/>
        </w:rPr>
      </w:pPr>
    </w:p>
    <w:p w14:paraId="777B6619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0F3C0118">
      <w:pPr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合同编号：</w:t>
      </w:r>
      <w:r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  <w:t>ZCSP-渭南市-</w:t>
      </w:r>
      <w:r>
        <w:rPr>
          <w:rFonts w:hint="eastAsia" w:ascii="宋体" w:hAnsi="宋体" w:cs="Times New Roman"/>
          <w:b/>
          <w:bCs/>
          <w:sz w:val="32"/>
          <w:szCs w:val="32"/>
          <w:lang w:val="en-US" w:eastAsia="zh-CN"/>
        </w:rPr>
        <w:t>2026</w:t>
      </w:r>
      <w:r>
        <w:rPr>
          <w:rFonts w:hint="eastAsia" w:ascii="宋体" w:hAnsi="宋体" w:eastAsia="宋体" w:cs="Times New Roman"/>
          <w:b/>
          <w:bCs/>
          <w:sz w:val="32"/>
          <w:szCs w:val="32"/>
          <w:lang w:val="zh-CN"/>
        </w:rPr>
        <w:t>-</w:t>
      </w:r>
      <w:r>
        <w:rPr>
          <w:rFonts w:hint="eastAsia" w:ascii="宋体" w:hAnsi="宋体" w:cs="Times New Roman"/>
          <w:b/>
          <w:bCs/>
          <w:sz w:val="32"/>
          <w:szCs w:val="32"/>
          <w:lang w:val="en-US" w:eastAsia="zh-CN"/>
        </w:rPr>
        <w:t>00127</w:t>
      </w:r>
    </w:p>
    <w:p w14:paraId="57992D01">
      <w:pPr>
        <w:rPr>
          <w:rFonts w:hint="eastAsia" w:ascii="宋体" w:hAnsi="宋体"/>
          <w:b/>
          <w:bCs/>
          <w:sz w:val="32"/>
          <w:szCs w:val="32"/>
        </w:rPr>
      </w:pPr>
    </w:p>
    <w:p w14:paraId="6432ABE4">
      <w:pPr>
        <w:rPr>
          <w:rFonts w:hint="eastAsia" w:ascii="宋体" w:hAnsi="宋体"/>
          <w:b/>
          <w:bCs/>
          <w:sz w:val="32"/>
          <w:szCs w:val="32"/>
        </w:rPr>
      </w:pPr>
    </w:p>
    <w:p w14:paraId="180D6D6F">
      <w:pPr>
        <w:rPr>
          <w:rFonts w:hint="eastAsia" w:ascii="宋体" w:hAnsi="宋体"/>
          <w:b/>
          <w:bCs/>
          <w:sz w:val="32"/>
          <w:szCs w:val="32"/>
        </w:rPr>
      </w:pPr>
    </w:p>
    <w:p w14:paraId="209B3341">
      <w:pPr>
        <w:rPr>
          <w:rFonts w:hint="eastAsia" w:ascii="宋体" w:hAnsi="宋体"/>
          <w:b/>
          <w:bCs/>
          <w:sz w:val="32"/>
          <w:szCs w:val="32"/>
        </w:rPr>
      </w:pPr>
    </w:p>
    <w:p w14:paraId="73CAA2A6">
      <w:pPr>
        <w:rPr>
          <w:rFonts w:hint="eastAsia" w:ascii="宋体" w:hAnsi="宋体"/>
          <w:b/>
          <w:bCs/>
          <w:sz w:val="32"/>
          <w:szCs w:val="32"/>
        </w:rPr>
      </w:pPr>
    </w:p>
    <w:p w14:paraId="460DBAE2">
      <w:pPr>
        <w:spacing w:line="520" w:lineRule="exact"/>
        <w:rPr>
          <w:rFonts w:hint="eastAsia" w:ascii="宋体" w:hAnsi="宋体"/>
          <w:b/>
          <w:bCs/>
          <w:sz w:val="32"/>
          <w:szCs w:val="32"/>
        </w:rPr>
      </w:pPr>
    </w:p>
    <w:p w14:paraId="50B0F68D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6D19A382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307A8816">
      <w:pPr>
        <w:spacing w:line="520" w:lineRule="exact"/>
        <w:ind w:firstLine="1269" w:firstLineChars="395"/>
        <w:rPr>
          <w:rFonts w:hint="eastAsia" w:ascii="宋体" w:hAnsi="宋体"/>
          <w:b/>
          <w:bCs/>
          <w:sz w:val="32"/>
          <w:szCs w:val="32"/>
        </w:rPr>
      </w:pPr>
    </w:p>
    <w:p w14:paraId="59AC66E8">
      <w:pPr>
        <w:spacing w:line="520" w:lineRule="exact"/>
        <w:rPr>
          <w:rFonts w:hint="eastAsia" w:ascii="宋体" w:hAnsi="宋体"/>
          <w:b/>
          <w:bCs/>
          <w:sz w:val="32"/>
          <w:szCs w:val="32"/>
        </w:rPr>
      </w:pPr>
    </w:p>
    <w:p w14:paraId="314142F4">
      <w:pPr>
        <w:spacing w:line="520" w:lineRule="exact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甲  方：渭南市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中心医院</w:t>
      </w:r>
    </w:p>
    <w:p w14:paraId="6E45BFBA">
      <w:pPr>
        <w:spacing w:line="520" w:lineRule="exact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乙  方：（成交供应商名称）</w:t>
      </w:r>
    </w:p>
    <w:p w14:paraId="2D91D71E">
      <w:pPr>
        <w:tabs>
          <w:tab w:val="left" w:pos="1995"/>
        </w:tabs>
        <w:spacing w:line="360" w:lineRule="auto"/>
        <w:ind w:firstLine="1269" w:firstLineChars="395"/>
        <w:jc w:val="lef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签订时间：202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bCs/>
          <w:sz w:val="32"/>
          <w:szCs w:val="32"/>
        </w:rPr>
        <w:t>年  月</w:t>
      </w:r>
    </w:p>
    <w:p w14:paraId="38547CAE">
      <w:pPr>
        <w:tabs>
          <w:tab w:val="left" w:pos="1995"/>
        </w:tabs>
        <w:spacing w:line="360" w:lineRule="auto"/>
        <w:ind w:firstLine="1110" w:firstLineChars="395"/>
        <w:rPr>
          <w:rFonts w:hint="eastAsia" w:ascii="仿宋" w:hAnsi="仿宋" w:eastAsia="仿宋"/>
          <w:b/>
          <w:sz w:val="28"/>
          <w:szCs w:val="28"/>
        </w:rPr>
      </w:pPr>
    </w:p>
    <w:p w14:paraId="70CB5451">
      <w:pPr>
        <w:tabs>
          <w:tab w:val="left" w:pos="1995"/>
        </w:tabs>
        <w:spacing w:line="360" w:lineRule="auto"/>
        <w:rPr>
          <w:rFonts w:hint="eastAsia" w:ascii="仿宋" w:hAnsi="仿宋" w:eastAsia="仿宋"/>
          <w:b/>
          <w:sz w:val="28"/>
          <w:szCs w:val="28"/>
        </w:rPr>
      </w:pPr>
    </w:p>
    <w:p w14:paraId="2876F733">
      <w:pPr>
        <w:tabs>
          <w:tab w:val="left" w:pos="735"/>
        </w:tabs>
        <w:autoSpaceDE w:val="0"/>
        <w:autoSpaceDN w:val="0"/>
        <w:adjustRightInd w:val="0"/>
        <w:snapToGrid w:val="0"/>
        <w:spacing w:line="600" w:lineRule="exact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甲方：（采购人）</w:t>
      </w:r>
    </w:p>
    <w:p w14:paraId="17733C5F">
      <w:pPr>
        <w:tabs>
          <w:tab w:val="left" w:pos="735"/>
        </w:tabs>
        <w:autoSpaceDE w:val="0"/>
        <w:autoSpaceDN w:val="0"/>
        <w:adjustRightInd w:val="0"/>
        <w:snapToGrid w:val="0"/>
        <w:spacing w:line="600" w:lineRule="exact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乙方：（成交供应商）</w:t>
      </w:r>
    </w:p>
    <w:p w14:paraId="3D51EB32">
      <w:pPr>
        <w:widowControl/>
        <w:spacing w:line="360" w:lineRule="auto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依照《中华人民共和国合同法》及国家的有关法律、行政法规，遵循平等、自愿、公平和诚实信用的原则，甲乙双方就渭南市中心医院电脑耗材采购项目</w:t>
      </w:r>
      <w:r>
        <w:rPr>
          <w:rFonts w:hint="eastAsia" w:ascii="仿宋" w:hAnsi="仿宋" w:eastAsia="仿宋"/>
          <w:bCs/>
          <w:sz w:val="28"/>
          <w:szCs w:val="28"/>
          <w:lang w:val="zh-CN"/>
        </w:rPr>
        <w:t>事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zh-CN"/>
        </w:rPr>
        <w:t>宜，经协商一致，订立本合同，以兹共同遵守。</w:t>
      </w:r>
    </w:p>
    <w:p w14:paraId="1B0395E6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1、合同内容及金额：即成交供应商的响应具体内容及其成交总金额（包含运输费、装卸费、保险费、安装调试费、检验费及培训费等一切费用）。其金额不受市场和工作量变化的影响。</w:t>
      </w:r>
    </w:p>
    <w:p w14:paraId="0D69B54D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2、设备技术规格、数量：即交付的设备技术规格、型号、数量与谈判响应文件所指明的，或者与本合同所指明的技术规格及型号相一致。</w:t>
      </w:r>
    </w:p>
    <w:p w14:paraId="008BDCCE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3、知识产权：即成交供应商应保证采购人在使用成交的设备时，不承担任何涉及知识产权法律诉讼的责任。</w:t>
      </w:r>
    </w:p>
    <w:p w14:paraId="11D305F8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4、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交货期</w:t>
      </w:r>
      <w:r>
        <w:rPr>
          <w:rFonts w:hint="eastAsia" w:ascii="仿宋" w:hAnsi="仿宋" w:eastAsia="仿宋"/>
          <w:bCs/>
          <w:sz w:val="28"/>
          <w:szCs w:val="28"/>
        </w:rPr>
        <w:t>：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按照采购人实际需求供货</w:t>
      </w:r>
      <w:r>
        <w:rPr>
          <w:rFonts w:hint="eastAsia" w:ascii="仿宋" w:hAnsi="仿宋" w:eastAsia="仿宋"/>
          <w:bCs/>
          <w:sz w:val="28"/>
          <w:szCs w:val="28"/>
        </w:rPr>
        <w:t>。</w:t>
      </w:r>
    </w:p>
    <w:p w14:paraId="28340621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成交供应商未征得采购人同意和谅解而单方面延迟交货，将按违约终止合同。</w:t>
      </w:r>
    </w:p>
    <w:p w14:paraId="1F740BF1">
      <w:pPr>
        <w:tabs>
          <w:tab w:val="left" w:pos="1155"/>
        </w:tabs>
        <w:spacing w:line="360" w:lineRule="auto"/>
        <w:ind w:firstLine="645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成交供应商遇到可能妨碍按时安装调试的情况，应当及时以书面形式通知采购人，说明原由、拖延的期限等；采购人、谈判组织机构在收到通知后，尽快进行情况评估并确定是否通过修改合同，酌情延长交工时间或者通过协商加收误期赔偿金。</w:t>
      </w:r>
    </w:p>
    <w:p w14:paraId="56EFDF02">
      <w:pPr>
        <w:numPr>
          <w:ilvl w:val="0"/>
          <w:numId w:val="1"/>
        </w:num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 xml:space="preserve">交货地点：采购单位指定位置 </w:t>
      </w:r>
    </w:p>
    <w:p w14:paraId="2DA62876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6、包装：包装必须适应设备和交通运输要求，以及国家有关标准或企业标准或合同要求。成交供应商应承担由于包装、防护措施不妥引起的所有损失的责任和费用。</w:t>
      </w:r>
    </w:p>
    <w:p w14:paraId="60629A42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7、运输：成交供应商可根据完工期、运输条件自行选择运输方式（另有规定的除外），承担一切运输费用。</w:t>
      </w:r>
    </w:p>
    <w:p w14:paraId="64E1FC4B"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</w:rPr>
        <w:t>8、付款方式：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 xml:space="preserve">进度款，以实际发生采购量按月进行结算并银行转账，款项结算须提供合法税务发票，且须遵守医院财务制度和款项支付程序的规定，结算三个月后进行支付，达到付款条件起15个工作日内，支付合同总金额的25.0% </w:t>
      </w:r>
    </w:p>
    <w:p w14:paraId="4BE5028C">
      <w:pPr>
        <w:spacing w:line="6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9、技术保障：成交供应商应随同设备单提供相应的中文技术文件（包括产品</w:t>
      </w:r>
      <w:r>
        <w:rPr>
          <w:rFonts w:hint="eastAsia" w:ascii="仿宋" w:hAnsi="仿宋" w:eastAsia="仿宋"/>
          <w:sz w:val="28"/>
          <w:szCs w:val="28"/>
        </w:rPr>
        <w:t>合格证、装箱清单、操作手册、使用说明、检测报告、维护手册、服务指南等资料），现场安装、调试、试运行技术保障服务。</w:t>
      </w:r>
    </w:p>
    <w:p w14:paraId="0608BF75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10、考察与人员技术培训：</w:t>
      </w:r>
    </w:p>
    <w:p w14:paraId="3C40B226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10.1培训方式：现场培训；</w:t>
      </w:r>
    </w:p>
    <w:p w14:paraId="471EE967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10.2培训人数：用户指定人员及人数；</w:t>
      </w:r>
    </w:p>
    <w:p w14:paraId="1C6A4D34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10.3培训内容：以上各项培训均为免费。</w:t>
      </w:r>
    </w:p>
    <w:p w14:paraId="235EE237">
      <w:pPr>
        <w:tabs>
          <w:tab w:val="left" w:pos="1155"/>
          <w:tab w:val="left" w:pos="1470"/>
        </w:tabs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11、质量保证</w:t>
      </w:r>
    </w:p>
    <w:p w14:paraId="01EB208E">
      <w:pPr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11.1成交供应商使用的原材料应提供清单，并在到货24小时内通知采购人代表检验核实（具体方式在合同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实际签订</w:t>
      </w:r>
      <w:r>
        <w:rPr>
          <w:rFonts w:hint="eastAsia" w:ascii="仿宋" w:hAnsi="仿宋" w:eastAsia="仿宋"/>
          <w:bCs/>
          <w:sz w:val="28"/>
          <w:szCs w:val="28"/>
        </w:rPr>
        <w:t>中明确）。</w:t>
      </w:r>
    </w:p>
    <w:p w14:paraId="1B3BB0B2">
      <w:pPr>
        <w:tabs>
          <w:tab w:val="left" w:pos="0"/>
          <w:tab w:val="left" w:pos="157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11.2成交供应商应当保证所供设备的来源渠道正常，产品是全新的、未使用过的，且完全符合合同规定的质量、规格、技术指标等要求，并在质保期内、外应对由于产品设计、工艺或材料的缺陷而产生的质量问题负责。</w:t>
      </w:r>
    </w:p>
    <w:p w14:paraId="6F75510E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11.3在质保期内，如果发现设备的质量、规格、技术指标等存在与合同有任何一项不符，采购人应在最短时间内，以书面形式向成交供应商人提出索赔。同时通告谈判组织机构。</w:t>
      </w:r>
    </w:p>
    <w:p w14:paraId="7FB8A63E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11.4成交供应商应当明确售后服务公约，承诺免费维修服务条件。</w:t>
      </w:r>
    </w:p>
    <w:p w14:paraId="66535510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12、检验：在交货前，成交供应商应当对所提供设备的质量、规格、技术、数量等进行准确而全面的检验，出具合格证并封装；设备</w:t>
      </w:r>
      <w:r>
        <w:rPr>
          <w:rFonts w:hint="eastAsia" w:ascii="仿宋" w:hAnsi="仿宋" w:eastAsia="仿宋"/>
          <w:sz w:val="28"/>
          <w:szCs w:val="28"/>
        </w:rPr>
        <w:t>送达指定地点后，</w:t>
      </w:r>
      <w:r>
        <w:rPr>
          <w:rFonts w:hint="eastAsia" w:ascii="仿宋" w:hAnsi="仿宋" w:eastAsia="仿宋"/>
          <w:bCs/>
          <w:sz w:val="28"/>
          <w:szCs w:val="28"/>
        </w:rPr>
        <w:t>成交供应商</w:t>
      </w:r>
      <w:r>
        <w:rPr>
          <w:rFonts w:hint="eastAsia" w:ascii="仿宋" w:hAnsi="仿宋" w:eastAsia="仿宋"/>
          <w:sz w:val="28"/>
          <w:szCs w:val="28"/>
        </w:rPr>
        <w:t>、采购人须在约定的时间和地点共同开箱检验。</w:t>
      </w:r>
    </w:p>
    <w:p w14:paraId="2F3ACD30"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13、验收：通过</w:t>
      </w:r>
      <w:r>
        <w:rPr>
          <w:rFonts w:hint="eastAsia" w:ascii="仿宋" w:hAnsi="仿宋" w:eastAsia="仿宋"/>
          <w:sz w:val="28"/>
          <w:szCs w:val="28"/>
        </w:rPr>
        <w:t>检验的设备方可进行安装、调试，达到正常使用条件时由采购人负责组织验收；验收合格须交接项目实施的全部资料，并填写政府采购项目验收报告单。验收须以合同、国际、国内相应的标准、规范等为依据。</w:t>
      </w:r>
    </w:p>
    <w:p w14:paraId="7B00BDEA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14、</w:t>
      </w:r>
      <w:r>
        <w:rPr>
          <w:rFonts w:hint="eastAsia" w:ascii="仿宋" w:hAnsi="仿宋" w:eastAsia="仿宋"/>
          <w:bCs/>
          <w:sz w:val="28"/>
          <w:szCs w:val="28"/>
        </w:rPr>
        <w:t>合同争议的解决：合同执行中发生争议的，当事人双方应协商解决，协商达不成一致时，可向当地行政仲裁机关申请仲裁或者向人民法院提请诉讼。</w:t>
      </w:r>
    </w:p>
    <w:p w14:paraId="314F5427">
      <w:pPr>
        <w:spacing w:line="360" w:lineRule="auto"/>
        <w:ind w:firstLine="548" w:firstLineChars="196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15</w:t>
      </w:r>
      <w:r>
        <w:rPr>
          <w:rFonts w:hint="eastAsia" w:ascii="仿宋" w:hAnsi="仿宋" w:eastAsia="仿宋"/>
          <w:bCs/>
          <w:sz w:val="28"/>
          <w:szCs w:val="28"/>
        </w:rPr>
        <w:t>、合同一经签订，不得擅自变更、中止或者终止合同。对确需变更、调整或者中止、终止合同的，应按规定履行相应的手续。</w:t>
      </w:r>
    </w:p>
    <w:p w14:paraId="479FFAF6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16、</w:t>
      </w:r>
      <w:r>
        <w:rPr>
          <w:rFonts w:hint="eastAsia" w:ascii="仿宋" w:hAnsi="仿宋" w:eastAsia="仿宋"/>
          <w:sz w:val="28"/>
          <w:szCs w:val="28"/>
        </w:rPr>
        <w:t>违约责任：依据《中华人民共和国合同法》、《中华人民共和国政府采购法》的相关条款规定和本合同约定，</w:t>
      </w:r>
      <w:r>
        <w:rPr>
          <w:rFonts w:hint="eastAsia" w:ascii="仿宋" w:hAnsi="仿宋" w:eastAsia="仿宋"/>
          <w:bCs/>
          <w:sz w:val="28"/>
          <w:szCs w:val="28"/>
        </w:rPr>
        <w:t>成交供应商</w:t>
      </w:r>
      <w:r>
        <w:rPr>
          <w:rFonts w:hint="eastAsia" w:ascii="仿宋" w:hAnsi="仿宋" w:eastAsia="仿宋"/>
          <w:sz w:val="28"/>
          <w:szCs w:val="28"/>
        </w:rPr>
        <w:t>未全面履行合同义务或者发生违约，采购人会同谈判组织机构有权终止合同，依法向成交供应商进行经济索赔，并报请政府采购监督管理机关依法进行相应的行政处罚。采购人违约的，应当赔偿给</w:t>
      </w:r>
      <w:r>
        <w:rPr>
          <w:rFonts w:hint="eastAsia" w:ascii="仿宋" w:hAnsi="仿宋" w:eastAsia="仿宋"/>
          <w:bCs/>
          <w:sz w:val="28"/>
          <w:szCs w:val="28"/>
        </w:rPr>
        <w:t>成交</w:t>
      </w:r>
      <w:r>
        <w:rPr>
          <w:rFonts w:hint="eastAsia" w:ascii="仿宋" w:hAnsi="仿宋" w:eastAsia="仿宋"/>
          <w:sz w:val="28"/>
          <w:szCs w:val="28"/>
        </w:rPr>
        <w:t>供应商造成的经济损失。</w:t>
      </w:r>
    </w:p>
    <w:p w14:paraId="3DD0496D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17、</w:t>
      </w:r>
      <w:r>
        <w:rPr>
          <w:rFonts w:hint="eastAsia" w:ascii="仿宋" w:hAnsi="仿宋" w:eastAsia="仿宋"/>
          <w:bCs/>
          <w:sz w:val="28"/>
          <w:szCs w:val="28"/>
        </w:rPr>
        <w:t>合同正本一式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贰</w:t>
      </w:r>
      <w:r>
        <w:rPr>
          <w:rFonts w:hint="eastAsia" w:ascii="仿宋" w:hAnsi="仿宋" w:eastAsia="仿宋"/>
          <w:bCs/>
          <w:sz w:val="28"/>
          <w:szCs w:val="28"/>
        </w:rPr>
        <w:t>份，采购人、成交供应商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各执一份</w:t>
      </w:r>
      <w:bookmarkStart w:id="0" w:name="_GoBack"/>
      <w:bookmarkEnd w:id="0"/>
      <w:r>
        <w:rPr>
          <w:rFonts w:hint="eastAsia" w:ascii="仿宋" w:hAnsi="仿宋" w:eastAsia="仿宋"/>
          <w:bCs/>
          <w:sz w:val="28"/>
          <w:szCs w:val="28"/>
        </w:rPr>
        <w:t>。</w:t>
      </w:r>
    </w:p>
    <w:p w14:paraId="4CCCD335"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18、其他（在合同中具体明确）</w:t>
      </w: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4536"/>
      </w:tblGrid>
      <w:tr w14:paraId="005A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6D34519C">
            <w:pPr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甲  方</w:t>
            </w:r>
          </w:p>
        </w:tc>
        <w:tc>
          <w:tcPr>
            <w:tcW w:w="4536" w:type="dxa"/>
            <w:noWrap w:val="0"/>
            <w:vAlign w:val="top"/>
          </w:tcPr>
          <w:p w14:paraId="442CD96F">
            <w:pPr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乙  方</w:t>
            </w:r>
          </w:p>
        </w:tc>
      </w:tr>
      <w:tr w14:paraId="048E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center"/>
          </w:tcPr>
          <w:p w14:paraId="6BB659A1">
            <w:pPr>
              <w:spacing w:line="3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  <w:tc>
          <w:tcPr>
            <w:tcW w:w="4536" w:type="dxa"/>
            <w:noWrap w:val="0"/>
            <w:vAlign w:val="center"/>
          </w:tcPr>
          <w:p w14:paraId="0A62F365">
            <w:pPr>
              <w:spacing w:line="3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</w:tr>
      <w:tr w14:paraId="4879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BE5C5B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地址： </w:t>
            </w:r>
          </w:p>
        </w:tc>
        <w:tc>
          <w:tcPr>
            <w:tcW w:w="4536" w:type="dxa"/>
            <w:noWrap w:val="0"/>
            <w:vAlign w:val="top"/>
          </w:tcPr>
          <w:p w14:paraId="6478C96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地址：</w:t>
            </w:r>
          </w:p>
        </w:tc>
      </w:tr>
      <w:tr w14:paraId="662DB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62A947F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邮编：</w:t>
            </w:r>
          </w:p>
        </w:tc>
        <w:tc>
          <w:tcPr>
            <w:tcW w:w="4536" w:type="dxa"/>
            <w:noWrap w:val="0"/>
            <w:vAlign w:val="top"/>
          </w:tcPr>
          <w:p w14:paraId="3D337546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邮编：</w:t>
            </w:r>
          </w:p>
        </w:tc>
      </w:tr>
      <w:tr w14:paraId="5DBC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A9997F7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法定代表人： </w:t>
            </w:r>
          </w:p>
        </w:tc>
        <w:tc>
          <w:tcPr>
            <w:tcW w:w="4536" w:type="dxa"/>
            <w:noWrap w:val="0"/>
            <w:vAlign w:val="top"/>
          </w:tcPr>
          <w:p w14:paraId="26450151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法定代表人：</w:t>
            </w:r>
          </w:p>
        </w:tc>
      </w:tr>
      <w:tr w14:paraId="42FE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05571A1F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被授权人：（签字）</w:t>
            </w:r>
          </w:p>
        </w:tc>
        <w:tc>
          <w:tcPr>
            <w:tcW w:w="4536" w:type="dxa"/>
            <w:noWrap w:val="0"/>
            <w:vAlign w:val="top"/>
          </w:tcPr>
          <w:p w14:paraId="4D36448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被授权人：（签字）</w:t>
            </w:r>
          </w:p>
        </w:tc>
      </w:tr>
      <w:tr w14:paraId="31A6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E51C8F2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电话：</w:t>
            </w:r>
          </w:p>
        </w:tc>
        <w:tc>
          <w:tcPr>
            <w:tcW w:w="4536" w:type="dxa"/>
            <w:noWrap w:val="0"/>
            <w:vAlign w:val="top"/>
          </w:tcPr>
          <w:p w14:paraId="72B18A43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电话：</w:t>
            </w:r>
          </w:p>
        </w:tc>
      </w:tr>
      <w:tr w14:paraId="22ED5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31C842D7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传真：</w:t>
            </w:r>
          </w:p>
        </w:tc>
        <w:tc>
          <w:tcPr>
            <w:tcW w:w="4536" w:type="dxa"/>
            <w:noWrap w:val="0"/>
            <w:vAlign w:val="top"/>
          </w:tcPr>
          <w:p w14:paraId="4F0C1D69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传真：</w:t>
            </w:r>
          </w:p>
        </w:tc>
      </w:tr>
      <w:tr w14:paraId="7F37C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1C5E312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536" w:type="dxa"/>
            <w:noWrap w:val="0"/>
            <w:vAlign w:val="top"/>
          </w:tcPr>
          <w:p w14:paraId="343A6C6A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开户银行：</w:t>
            </w:r>
          </w:p>
        </w:tc>
      </w:tr>
      <w:tr w14:paraId="3D39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5D186C5E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536" w:type="dxa"/>
            <w:noWrap w:val="0"/>
            <w:vAlign w:val="top"/>
          </w:tcPr>
          <w:p w14:paraId="1BA41441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号：</w:t>
            </w:r>
          </w:p>
        </w:tc>
      </w:tr>
      <w:tr w14:paraId="21A03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786" w:type="dxa"/>
            <w:noWrap w:val="0"/>
            <w:vAlign w:val="top"/>
          </w:tcPr>
          <w:p w14:paraId="59E269E8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日期：   年   月   日</w:t>
            </w:r>
          </w:p>
        </w:tc>
        <w:tc>
          <w:tcPr>
            <w:tcW w:w="4536" w:type="dxa"/>
            <w:noWrap w:val="0"/>
            <w:vAlign w:val="top"/>
          </w:tcPr>
          <w:p w14:paraId="0C636C4B">
            <w:pPr>
              <w:spacing w:line="4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日期：   年   月   日</w:t>
            </w:r>
          </w:p>
        </w:tc>
      </w:tr>
    </w:tbl>
    <w:p w14:paraId="399668CC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2DFBE721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0D8F9FF1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69DEEA4D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045CEC47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7F12F200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185417F4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5F2F717D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2759609A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4D463F71">
      <w:pPr>
        <w:spacing w:line="500" w:lineRule="exact"/>
        <w:rPr>
          <w:rFonts w:hint="eastAsia" w:ascii="仿宋" w:hAnsi="仿宋" w:eastAsia="仿宋"/>
          <w:sz w:val="28"/>
          <w:szCs w:val="28"/>
        </w:rPr>
      </w:pPr>
    </w:p>
    <w:p w14:paraId="6E48B4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E86A95"/>
    <w:multiLevelType w:val="singleLevel"/>
    <w:tmpl w:val="89E86A95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4502A"/>
    <w:rsid w:val="37341F94"/>
    <w:rsid w:val="3B54502A"/>
    <w:rsid w:val="3F5C6EE5"/>
    <w:rsid w:val="40551798"/>
    <w:rsid w:val="75C9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1785</Words>
  <Characters>1839</Characters>
  <Lines>0</Lines>
  <Paragraphs>0</Paragraphs>
  <TotalTime>24</TotalTime>
  <ScaleCrop>false</ScaleCrop>
  <LinksUpToDate>false</LinksUpToDate>
  <CharactersWithSpaces>1875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2025-08-04T02:03:00Z</dcterms:created>
  <dc:creator>言小草</dc:creator>
  <cp:lastModifiedBy>言小草</cp:lastModifiedBy>
  <dcterms:modified xsi:type="dcterms:W3CDTF">2026-06-01T02:55:41Z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0C2E247FD68C4541908352C0C0F130C6_13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